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D4BF3" w14:textId="7BE54A3D" w:rsidR="00BB5165" w:rsidRDefault="00BB5165" w:rsidP="00BB5165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50CCE8" wp14:editId="6C36CEB2">
            <wp:simplePos x="0" y="0"/>
            <wp:positionH relativeFrom="margin">
              <wp:posOffset>3829685</wp:posOffset>
            </wp:positionH>
            <wp:positionV relativeFrom="margin">
              <wp:posOffset>1270</wp:posOffset>
            </wp:positionV>
            <wp:extent cx="941705" cy="8185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&amp;D NW logo mediu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7B518" w14:textId="77777777" w:rsidR="00BB5165" w:rsidRDefault="00BB5165" w:rsidP="00BB5165">
      <w:pPr>
        <w:jc w:val="center"/>
        <w:rPr>
          <w:b/>
        </w:rPr>
      </w:pPr>
    </w:p>
    <w:p w14:paraId="10139E5C" w14:textId="0DA4729C" w:rsidR="00DD4264" w:rsidRPr="00790429" w:rsidRDefault="00BB5165" w:rsidP="00790429">
      <w:pPr>
        <w:rPr>
          <w:b/>
          <w:sz w:val="36"/>
          <w:szCs w:val="36"/>
        </w:rPr>
      </w:pPr>
      <w:r w:rsidRPr="00BB5165">
        <w:rPr>
          <w:b/>
          <w:sz w:val="36"/>
          <w:szCs w:val="36"/>
        </w:rPr>
        <w:t>FREQUENTLY ASKED QUESTIONS</w:t>
      </w:r>
      <w:r w:rsidR="00790429">
        <w:rPr>
          <w:b/>
          <w:sz w:val="36"/>
          <w:szCs w:val="36"/>
        </w:rPr>
        <w:t xml:space="preserve">  </w:t>
      </w:r>
      <w:r w:rsidR="00790429">
        <w:rPr>
          <w:noProof/>
          <w:lang w:eastAsia="en-GB"/>
        </w:rPr>
        <w:drawing>
          <wp:inline distT="0" distB="0" distL="0" distR="0" wp14:anchorId="382D6859" wp14:editId="62E4E9D6">
            <wp:extent cx="1063128" cy="40459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A_R&amp;Dlogo_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08" cy="43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5EBA7" w14:textId="77777777" w:rsidR="00BB5165" w:rsidRDefault="00BB5165" w:rsidP="0056670F">
      <w:pPr>
        <w:rPr>
          <w:b/>
        </w:rPr>
      </w:pPr>
    </w:p>
    <w:p w14:paraId="11BE1F11" w14:textId="77777777" w:rsidR="00BB5165" w:rsidRDefault="00BB5165" w:rsidP="0056670F">
      <w:pPr>
        <w:rPr>
          <w:b/>
        </w:rPr>
      </w:pPr>
    </w:p>
    <w:p w14:paraId="40233BEC" w14:textId="77777777" w:rsidR="0056670F" w:rsidRPr="00AB3F1B" w:rsidRDefault="0056670F" w:rsidP="0056670F">
      <w:pPr>
        <w:rPr>
          <w:b/>
        </w:rPr>
      </w:pPr>
      <w:r w:rsidRPr="00AB3F1B">
        <w:rPr>
          <w:b/>
        </w:rPr>
        <w:t>Who is eligible to apply?</w:t>
      </w:r>
    </w:p>
    <w:p w14:paraId="22BE9C16" w14:textId="7509AD4C" w:rsidR="0056670F" w:rsidRDefault="0056670F" w:rsidP="0056670F">
      <w:r w:rsidRPr="00901FBC">
        <w:t>Details of the eligible p</w:t>
      </w:r>
      <w:r w:rsidR="00672D6C">
        <w:t>rofessions for the Bridging Scheme</w:t>
      </w:r>
      <w:r w:rsidRPr="00901FBC">
        <w:t xml:space="preserve"> can be found </w:t>
      </w:r>
      <w:hyperlink r:id="rId7" w:history="1">
        <w:r w:rsidR="00672D6C" w:rsidRPr="00BB5165">
          <w:rPr>
            <w:rStyle w:val="Hyperlink"/>
          </w:rPr>
          <w:t>here.</w:t>
        </w:r>
      </w:hyperlink>
      <w:r>
        <w:t xml:space="preserve"> </w:t>
      </w:r>
    </w:p>
    <w:p w14:paraId="5BAED87B" w14:textId="77777777" w:rsidR="00DD4264" w:rsidRPr="00901FBC" w:rsidRDefault="00DD4264"/>
    <w:p w14:paraId="5806BEF9" w14:textId="7102F28B" w:rsidR="0056670F" w:rsidRPr="00AB3F1B" w:rsidRDefault="0056670F" w:rsidP="0056670F">
      <w:pPr>
        <w:rPr>
          <w:b/>
        </w:rPr>
      </w:pPr>
      <w:r w:rsidRPr="00AB3F1B">
        <w:rPr>
          <w:b/>
        </w:rPr>
        <w:t>When do th</w:t>
      </w:r>
      <w:r w:rsidR="00CC0169">
        <w:rPr>
          <w:b/>
        </w:rPr>
        <w:t xml:space="preserve">e applications for the </w:t>
      </w:r>
      <w:r w:rsidR="00B11C95">
        <w:rPr>
          <w:b/>
        </w:rPr>
        <w:t>Bridging Scheme</w:t>
      </w:r>
      <w:r w:rsidRPr="00AB3F1B">
        <w:rPr>
          <w:b/>
        </w:rPr>
        <w:t> open?</w:t>
      </w:r>
    </w:p>
    <w:p w14:paraId="15D9328C" w14:textId="3832ACC7" w:rsidR="0056670F" w:rsidRPr="00901FBC" w:rsidRDefault="0056670F" w:rsidP="0056670F">
      <w:r w:rsidRPr="00901FBC">
        <w:t xml:space="preserve">Applications for the </w:t>
      </w:r>
      <w:r w:rsidR="00790429">
        <w:t>202</w:t>
      </w:r>
      <w:r w:rsidR="00DF380E">
        <w:t>2</w:t>
      </w:r>
      <w:r w:rsidR="00790429">
        <w:t>/2</w:t>
      </w:r>
      <w:r w:rsidR="00DF380E">
        <w:t>3</w:t>
      </w:r>
      <w:r w:rsidR="00305942">
        <w:t xml:space="preserve"> </w:t>
      </w:r>
      <w:r w:rsidRPr="00901FBC">
        <w:t xml:space="preserve">cohorts </w:t>
      </w:r>
      <w:r w:rsidR="00790429">
        <w:t xml:space="preserve">opened on </w:t>
      </w:r>
      <w:r w:rsidR="00DF380E">
        <w:t>11</w:t>
      </w:r>
      <w:r w:rsidR="00790429" w:rsidRPr="00790429">
        <w:rPr>
          <w:vertAlign w:val="superscript"/>
        </w:rPr>
        <w:t>th</w:t>
      </w:r>
      <w:r w:rsidR="00790429">
        <w:t xml:space="preserve"> J</w:t>
      </w:r>
      <w:r w:rsidR="00DF380E">
        <w:t>uly</w:t>
      </w:r>
      <w:r w:rsidR="00790429">
        <w:t xml:space="preserve"> 202</w:t>
      </w:r>
      <w:r w:rsidR="00DF380E">
        <w:t>2.</w:t>
      </w:r>
    </w:p>
    <w:p w14:paraId="45B13228" w14:textId="77777777" w:rsidR="0056670F" w:rsidRDefault="0056670F" w:rsidP="0056670F">
      <w:pPr>
        <w:rPr>
          <w:b/>
        </w:rPr>
      </w:pPr>
    </w:p>
    <w:p w14:paraId="4874E167" w14:textId="77777777" w:rsidR="0056670F" w:rsidRPr="0056670F" w:rsidRDefault="0056670F" w:rsidP="0056670F">
      <w:pPr>
        <w:rPr>
          <w:b/>
        </w:rPr>
      </w:pPr>
      <w:r w:rsidRPr="0056670F">
        <w:rPr>
          <w:b/>
        </w:rPr>
        <w:t>When will the application process close?</w:t>
      </w:r>
    </w:p>
    <w:p w14:paraId="46F7FD44" w14:textId="59252600" w:rsidR="0056670F" w:rsidRPr="00901FBC" w:rsidRDefault="0056670F" w:rsidP="0056670F">
      <w:r w:rsidRPr="00901FBC">
        <w:t>Applications for t</w:t>
      </w:r>
      <w:r>
        <w:t xml:space="preserve">he </w:t>
      </w:r>
      <w:r w:rsidR="00790429">
        <w:t>202</w:t>
      </w:r>
      <w:r w:rsidR="00DF380E">
        <w:t>2</w:t>
      </w:r>
      <w:r w:rsidR="00790429">
        <w:t>/2</w:t>
      </w:r>
      <w:r w:rsidR="00DF380E">
        <w:t>3</w:t>
      </w:r>
      <w:r w:rsidR="00790429">
        <w:t xml:space="preserve"> cohort close at 5pm on </w:t>
      </w:r>
      <w:r w:rsidR="00DF380E">
        <w:t>26</w:t>
      </w:r>
      <w:r w:rsidR="00DF380E">
        <w:rPr>
          <w:vertAlign w:val="superscript"/>
        </w:rPr>
        <w:t>th</w:t>
      </w:r>
      <w:r w:rsidR="00790429">
        <w:t xml:space="preserve"> August 202</w:t>
      </w:r>
      <w:r w:rsidR="00DF380E">
        <w:t>2</w:t>
      </w:r>
      <w:r w:rsidR="00790429">
        <w:t>.</w:t>
      </w:r>
    </w:p>
    <w:p w14:paraId="32BBF32B" w14:textId="77777777" w:rsidR="0056670F" w:rsidRDefault="0056670F" w:rsidP="0056670F"/>
    <w:p w14:paraId="6F6C8DD0" w14:textId="77777777" w:rsidR="0056670F" w:rsidRPr="00AB3F1B" w:rsidRDefault="0056670F" w:rsidP="0056670F">
      <w:pPr>
        <w:rPr>
          <w:b/>
        </w:rPr>
      </w:pPr>
      <w:r w:rsidRPr="00AB3F1B">
        <w:rPr>
          <w:b/>
        </w:rPr>
        <w:t>How do I apply?</w:t>
      </w:r>
    </w:p>
    <w:p w14:paraId="3289528F" w14:textId="6D715DFC" w:rsidR="0056670F" w:rsidRDefault="0056670F" w:rsidP="0056670F">
      <w:r w:rsidRPr="00901FBC">
        <w:t xml:space="preserve">To apply please complete the </w:t>
      </w:r>
      <w:r w:rsidR="00CC0169">
        <w:t xml:space="preserve">relevant </w:t>
      </w:r>
      <w:r w:rsidRPr="00901FBC">
        <w:t>appli</w:t>
      </w:r>
      <w:r w:rsidR="00CC0169">
        <w:t>cation form for the</w:t>
      </w:r>
      <w:r w:rsidRPr="00901FBC">
        <w:t xml:space="preserve"> Bridging Programme, </w:t>
      </w:r>
      <w:r w:rsidR="00B11C95">
        <w:t xml:space="preserve">shortlisted candidates will then be </w:t>
      </w:r>
      <w:r w:rsidRPr="00901FBC">
        <w:t>invited to an interview.</w:t>
      </w:r>
      <w:r>
        <w:t xml:space="preserve">  Please ensure you also submit your CV.</w:t>
      </w:r>
    </w:p>
    <w:p w14:paraId="39DE000C" w14:textId="77777777" w:rsidR="0056670F" w:rsidRPr="00901FBC" w:rsidRDefault="0056670F" w:rsidP="0056670F"/>
    <w:p w14:paraId="5931044D" w14:textId="38E9AC17" w:rsidR="0056670F" w:rsidRDefault="0056670F" w:rsidP="0056670F">
      <w:r w:rsidRPr="00901FBC">
        <w:t xml:space="preserve">**Please note that interviews will be scheduled </w:t>
      </w:r>
      <w:r w:rsidR="00790429">
        <w:t>for September</w:t>
      </w:r>
      <w:r w:rsidR="00DF380E">
        <w:t xml:space="preserve"> </w:t>
      </w:r>
      <w:r w:rsidR="00790429">
        <w:t>202</w:t>
      </w:r>
      <w:r w:rsidR="00DF380E">
        <w:t>2</w:t>
      </w:r>
      <w:r>
        <w:t xml:space="preserve"> - </w:t>
      </w:r>
      <w:r w:rsidRPr="00901FBC">
        <w:t>specific dates TBC once shortlisting has taken place.</w:t>
      </w:r>
    </w:p>
    <w:p w14:paraId="14B4AC32" w14:textId="77777777" w:rsidR="0056670F" w:rsidRPr="00901FBC" w:rsidRDefault="0056670F" w:rsidP="0056670F"/>
    <w:p w14:paraId="487EDB55" w14:textId="26FB0E0C" w:rsidR="0056670F" w:rsidRPr="00DF380E" w:rsidRDefault="00DF380E" w:rsidP="0056670F">
      <w:pPr>
        <w:rPr>
          <w:rStyle w:val="Hyperlink"/>
        </w:rPr>
      </w:pPr>
      <w:hyperlink r:id="rId8" w:history="1">
        <w:r w:rsidR="00790429" w:rsidRPr="00DF380E">
          <w:rPr>
            <w:rStyle w:val="Hyperlink"/>
          </w:rPr>
          <w:t xml:space="preserve">HSC R&amp;D </w:t>
        </w:r>
        <w:proofErr w:type="gramStart"/>
        <w:r w:rsidR="00672D6C" w:rsidRPr="00DF380E">
          <w:rPr>
            <w:rStyle w:val="Hyperlink"/>
          </w:rPr>
          <w:t>Pre Doctoral</w:t>
        </w:r>
        <w:proofErr w:type="gramEnd"/>
        <w:r w:rsidR="00672D6C" w:rsidRPr="00DF380E">
          <w:rPr>
            <w:rStyle w:val="Hyperlink"/>
          </w:rPr>
          <w:t xml:space="preserve"> Bridging Scheme</w:t>
        </w:r>
        <w:r w:rsidR="00790429" w:rsidRPr="00DF380E">
          <w:rPr>
            <w:rStyle w:val="Hyperlink"/>
          </w:rPr>
          <w:t xml:space="preserve"> 202</w:t>
        </w:r>
        <w:r w:rsidRPr="00DF380E">
          <w:rPr>
            <w:rStyle w:val="Hyperlink"/>
          </w:rPr>
          <w:t>2</w:t>
        </w:r>
        <w:r w:rsidR="00790429" w:rsidRPr="00DF380E">
          <w:rPr>
            <w:rStyle w:val="Hyperlink"/>
          </w:rPr>
          <w:t>-2</w:t>
        </w:r>
        <w:r w:rsidRPr="00DF380E">
          <w:rPr>
            <w:rStyle w:val="Hyperlink"/>
          </w:rPr>
          <w:t>3</w:t>
        </w:r>
        <w:r w:rsidR="0056670F" w:rsidRPr="00DF380E">
          <w:rPr>
            <w:rStyle w:val="Hyperlink"/>
          </w:rPr>
          <w:t xml:space="preserve"> – Application Form</w:t>
        </w:r>
        <w:r w:rsidR="00790429" w:rsidRPr="00DF380E">
          <w:rPr>
            <w:rStyle w:val="Hyperlink"/>
          </w:rPr>
          <w:t xml:space="preserve"> and Guidance Notes</w:t>
        </w:r>
      </w:hyperlink>
      <w:bookmarkStart w:id="0" w:name="_GoBack"/>
      <w:bookmarkEnd w:id="0"/>
    </w:p>
    <w:p w14:paraId="2A6BCA96" w14:textId="28895713" w:rsidR="00CC0169" w:rsidRDefault="00CC0169" w:rsidP="0056670F"/>
    <w:p w14:paraId="5D0E79AD" w14:textId="77777777" w:rsidR="0056670F" w:rsidRPr="00AB3F1B" w:rsidRDefault="0056670F" w:rsidP="0056670F">
      <w:pPr>
        <w:rPr>
          <w:b/>
        </w:rPr>
      </w:pPr>
      <w:r w:rsidRPr="00AB3F1B">
        <w:rPr>
          <w:b/>
        </w:rPr>
        <w:t>Do I need my manager’s support?</w:t>
      </w:r>
    </w:p>
    <w:p w14:paraId="40AC3C9A" w14:textId="27221121" w:rsidR="0056670F" w:rsidRPr="00CC0169" w:rsidRDefault="0056670F">
      <w:r w:rsidRPr="00901FBC">
        <w:t>Ap</w:t>
      </w:r>
      <w:r w:rsidR="00CC0169">
        <w:t xml:space="preserve">plications for the </w:t>
      </w:r>
      <w:r w:rsidR="00672D6C">
        <w:t>Bridging Scheme</w:t>
      </w:r>
      <w:r w:rsidRPr="00901FBC">
        <w:t xml:space="preserve"> will only</w:t>
      </w:r>
      <w:r>
        <w:t xml:space="preserve"> be accepted with a </w:t>
      </w:r>
      <w:r w:rsidRPr="00901FBC">
        <w:t>signed statement of support from your line manager</w:t>
      </w:r>
      <w:r w:rsidR="00672D6C">
        <w:t xml:space="preserve"> and an additional signature from a Senior Manager</w:t>
      </w:r>
      <w:r w:rsidRPr="00901FBC">
        <w:t>. This statement of support from your manager is included as part of the application form.</w:t>
      </w:r>
    </w:p>
    <w:p w14:paraId="29BD1CEF" w14:textId="77777777" w:rsidR="0056670F" w:rsidRDefault="0056670F" w:rsidP="0056670F"/>
    <w:p w14:paraId="570BCB0C" w14:textId="77777777" w:rsidR="0056670F" w:rsidRPr="00AB3F1B" w:rsidRDefault="0056670F" w:rsidP="0056670F">
      <w:pPr>
        <w:rPr>
          <w:b/>
        </w:rPr>
      </w:pPr>
      <w:r w:rsidRPr="00AB3F1B">
        <w:rPr>
          <w:b/>
        </w:rPr>
        <w:t>What time commitment is needed?</w:t>
      </w:r>
    </w:p>
    <w:p w14:paraId="7A797D79" w14:textId="10D32C39" w:rsidR="0056670F" w:rsidRDefault="00CC0169" w:rsidP="0056670F">
      <w:r>
        <w:t xml:space="preserve">For the </w:t>
      </w:r>
      <w:r w:rsidR="00672D6C">
        <w:t>Bridging Scheme</w:t>
      </w:r>
      <w:r w:rsidR="0056670F" w:rsidRPr="00901FBC">
        <w:t xml:space="preserve"> you will need to commit </w:t>
      </w:r>
      <w:r w:rsidR="0056670F">
        <w:t>up</w:t>
      </w:r>
      <w:r w:rsidR="00672D6C">
        <w:t xml:space="preserve"> </w:t>
      </w:r>
      <w:r w:rsidR="0056670F">
        <w:t>to 50% of your contracted hours</w:t>
      </w:r>
      <w:r>
        <w:t xml:space="preserve"> to focus on the development of your research career and work towards a successful fellowship application</w:t>
      </w:r>
      <w:r w:rsidR="0056670F">
        <w:t xml:space="preserve">.  Attendance at the workshops will be </w:t>
      </w:r>
      <w:r w:rsidR="00672D6C">
        <w:t>mandatory; these dates are fixed and can</w:t>
      </w:r>
      <w:r w:rsidR="0056670F">
        <w:t>not be changed.  You will be notified in advance of these dates.</w:t>
      </w:r>
    </w:p>
    <w:p w14:paraId="3D24D9AC" w14:textId="77777777" w:rsidR="0056670F" w:rsidRDefault="0056670F" w:rsidP="0056670F"/>
    <w:p w14:paraId="65A96DD2" w14:textId="230F4A55" w:rsidR="0056670F" w:rsidRPr="00CC0169" w:rsidRDefault="0056670F">
      <w:r w:rsidRPr="00901FBC">
        <w:t xml:space="preserve">The protected time that you are released from your clinical work </w:t>
      </w:r>
      <w:r>
        <w:t xml:space="preserve">is to be negotiated with your </w:t>
      </w:r>
      <w:r w:rsidRPr="00901FBC">
        <w:t>line manager</w:t>
      </w:r>
      <w:r>
        <w:t xml:space="preserve"> and advice can be given on how best to manage this</w:t>
      </w:r>
      <w:r w:rsidRPr="00901FBC">
        <w:t>.</w:t>
      </w:r>
      <w:r>
        <w:t xml:space="preserve">  Your </w:t>
      </w:r>
      <w:r w:rsidRPr="00901FBC">
        <w:t>study days can be flexible and negotiated with your academic supervisor and employer.</w:t>
      </w:r>
    </w:p>
    <w:p w14:paraId="42FDCDE8" w14:textId="77777777" w:rsidR="00DD4264" w:rsidRPr="00901FBC" w:rsidRDefault="00DD4264"/>
    <w:p w14:paraId="5E47DBCB" w14:textId="72E2872D" w:rsidR="0056670F" w:rsidRPr="00AB3F1B" w:rsidRDefault="0056670F" w:rsidP="0056670F">
      <w:pPr>
        <w:rPr>
          <w:b/>
        </w:rPr>
      </w:pPr>
      <w:r w:rsidRPr="00AB3F1B">
        <w:rPr>
          <w:b/>
        </w:rPr>
        <w:t>How does the funding for my course</w:t>
      </w:r>
      <w:r>
        <w:rPr>
          <w:b/>
        </w:rPr>
        <w:t xml:space="preserve"> costs and single payment </w:t>
      </w:r>
      <w:r w:rsidRPr="00AB3F1B">
        <w:rPr>
          <w:b/>
        </w:rPr>
        <w:t>work?</w:t>
      </w:r>
    </w:p>
    <w:p w14:paraId="05C7EFA3" w14:textId="7C124B41" w:rsidR="0056670F" w:rsidRDefault="0056670F" w:rsidP="0056670F">
      <w:r w:rsidRPr="00901FBC">
        <w:t>There will be no requirement for you to pay any fees a</w:t>
      </w:r>
      <w:r w:rsidR="00CC0169">
        <w:t xml:space="preserve">ssociated with the </w:t>
      </w:r>
      <w:r w:rsidR="00672D6C">
        <w:t>Bridging Scheme</w:t>
      </w:r>
      <w:r w:rsidRPr="00901FBC">
        <w:t>.</w:t>
      </w:r>
    </w:p>
    <w:p w14:paraId="22FC50CE" w14:textId="77777777" w:rsidR="00463B8A" w:rsidRDefault="00463B8A" w:rsidP="0056670F"/>
    <w:p w14:paraId="320C1CA8" w14:textId="225E6DDD" w:rsidR="00463B8A" w:rsidRPr="00901FBC" w:rsidRDefault="00463B8A" w:rsidP="00463B8A">
      <w:r>
        <w:t>A single payment of up</w:t>
      </w:r>
      <w:r w:rsidR="00672D6C">
        <w:t xml:space="preserve"> </w:t>
      </w:r>
      <w:r>
        <w:t xml:space="preserve">to £10,000 will be </w:t>
      </w:r>
      <w:r w:rsidRPr="00901FBC">
        <w:t>paid direct to your employing trust once</w:t>
      </w:r>
      <w:r>
        <w:t xml:space="preserve"> the scheme begins</w:t>
      </w:r>
      <w:r w:rsidR="00790429">
        <w:t xml:space="preserve">. </w:t>
      </w:r>
    </w:p>
    <w:p w14:paraId="1BA979C0" w14:textId="77777777" w:rsidR="00790429" w:rsidRDefault="00790429"/>
    <w:p w14:paraId="7BB297F0" w14:textId="6D780BCF" w:rsidR="00DD4264" w:rsidRDefault="00DD4264">
      <w:r w:rsidRPr="00901FBC">
        <w:t xml:space="preserve">The payment is a contribution towards your </w:t>
      </w:r>
      <w:r w:rsidR="00463B8A">
        <w:t xml:space="preserve">salary and incidental costs; education, training </w:t>
      </w:r>
      <w:r w:rsidR="0060211C">
        <w:t>a</w:t>
      </w:r>
      <w:r w:rsidR="00463B8A">
        <w:t>nd support costs, travel expenses and other reasonably incurred expenses by the awardee.  We are aware that in some circumstance</w:t>
      </w:r>
      <w:r w:rsidR="0060211C">
        <w:t>s</w:t>
      </w:r>
      <w:r w:rsidR="00463B8A">
        <w:t xml:space="preserve"> this fundi</w:t>
      </w:r>
      <w:r w:rsidR="0060211C">
        <w:t xml:space="preserve">ng will not be enough to cover </w:t>
      </w:r>
      <w:r w:rsidR="00463B8A">
        <w:t xml:space="preserve">expenses as well as salary support.  In these circumstances </w:t>
      </w:r>
      <w:r w:rsidRPr="00901FBC">
        <w:t xml:space="preserve">there will be an expectation, in support of your application, that your employing trust will subsidise any shortfall.  Alternatively, </w:t>
      </w:r>
      <w:r w:rsidRPr="00901FBC">
        <w:lastRenderedPageBreak/>
        <w:t xml:space="preserve">awardees can calculate how much of their contracted hours the payment will “buy” and negotiate this time with their employer.   </w:t>
      </w:r>
      <w:r w:rsidR="002E095A">
        <w:t>Advice can be given on how best to approach this with your line manager.</w:t>
      </w:r>
    </w:p>
    <w:p w14:paraId="0D7BBB3E" w14:textId="77777777" w:rsidR="00DD4264" w:rsidRPr="00901FBC" w:rsidRDefault="00DD4264"/>
    <w:p w14:paraId="5ECAE01C" w14:textId="77777777" w:rsidR="00DD4264" w:rsidRPr="00901FBC" w:rsidRDefault="00DD4264">
      <w:pPr>
        <w:rPr>
          <w:b/>
        </w:rPr>
      </w:pPr>
      <w:r w:rsidRPr="00901FBC">
        <w:rPr>
          <w:b/>
        </w:rPr>
        <w:t>Is the initial residential workshop optional?</w:t>
      </w:r>
    </w:p>
    <w:p w14:paraId="280480EB" w14:textId="5BCCDC44" w:rsidR="00DD4264" w:rsidRPr="00901FBC" w:rsidRDefault="00DD4264">
      <w:r w:rsidRPr="00901FBC">
        <w:t xml:space="preserve">The initial workshop will be over 2 days and the overnight residential is optional.  Attendance at the workshops during the day is mandatory but the awardees do not have to stay overnight.  The cost for anyone staying </w:t>
      </w:r>
      <w:proofErr w:type="spellStart"/>
      <w:r w:rsidRPr="00901FBC">
        <w:t>over night</w:t>
      </w:r>
      <w:proofErr w:type="spellEnd"/>
      <w:r w:rsidRPr="00901FBC">
        <w:t xml:space="preserve"> and the group evening meal will be covered by the organisers.</w:t>
      </w:r>
    </w:p>
    <w:p w14:paraId="4D947609" w14:textId="77777777" w:rsidR="00AB3F1B" w:rsidRDefault="00AB3F1B" w:rsidP="00AB3F1B"/>
    <w:p w14:paraId="538128EF" w14:textId="77777777" w:rsidR="00274B60" w:rsidRPr="00AB3F1B" w:rsidRDefault="00274B60" w:rsidP="00AB3F1B">
      <w:pPr>
        <w:rPr>
          <w:b/>
        </w:rPr>
      </w:pPr>
      <w:r w:rsidRPr="00AB3F1B">
        <w:rPr>
          <w:b/>
        </w:rPr>
        <w:t>Do I gain a qualification from this?</w:t>
      </w:r>
    </w:p>
    <w:p w14:paraId="1D0C47B8" w14:textId="449770BD" w:rsidR="00274B60" w:rsidRPr="00901FBC" w:rsidRDefault="000111FC" w:rsidP="00AB3F1B">
      <w:r>
        <w:t>The Bridging Scheme</w:t>
      </w:r>
      <w:r w:rsidR="00274B60" w:rsidRPr="00901FBC">
        <w:t xml:space="preserve"> is a preparation programme that develops your skills and knowled</w:t>
      </w:r>
      <w:r>
        <w:t>ge in advance of a fellowship/doctoral</w:t>
      </w:r>
      <w:r w:rsidR="00274B60" w:rsidRPr="00901FBC">
        <w:t xml:space="preserve"> application. There isn’t an official qualification awarded at the end of the programme, however it is a good addition to your CV.</w:t>
      </w:r>
    </w:p>
    <w:p w14:paraId="7B283116" w14:textId="77777777" w:rsidR="00AB3F1B" w:rsidRDefault="00AB3F1B" w:rsidP="00AB3F1B"/>
    <w:p w14:paraId="4FF011A0" w14:textId="77777777" w:rsidR="00274B60" w:rsidRPr="00AB3F1B" w:rsidRDefault="00274B60" w:rsidP="00AB3F1B">
      <w:pPr>
        <w:rPr>
          <w:b/>
        </w:rPr>
      </w:pPr>
      <w:r w:rsidRPr="00AB3F1B">
        <w:rPr>
          <w:b/>
        </w:rPr>
        <w:t>What are the benefits for my employer?</w:t>
      </w:r>
    </w:p>
    <w:p w14:paraId="47E1120C" w14:textId="6F840038" w:rsidR="00274B60" w:rsidRPr="00901FBC" w:rsidRDefault="000111FC" w:rsidP="00AB3F1B">
      <w:r>
        <w:t>The Bridging Scheme</w:t>
      </w:r>
      <w:r w:rsidR="00274B60" w:rsidRPr="00901FBC">
        <w:t xml:space="preserve"> supports the national agenda to increase the capability of non-medical clinicians to contribute to the improvement of patient outcomes and innovations in healthcare. Indiv</w:t>
      </w:r>
      <w:r>
        <w:t>iduals undertaking the scheme</w:t>
      </w:r>
      <w:r w:rsidR="00274B60" w:rsidRPr="00901FBC">
        <w:t xml:space="preserve"> will start to develop the skills and knowledge required to undertake their own clinical research and progress along the clinical academic career pathway.</w:t>
      </w:r>
    </w:p>
    <w:p w14:paraId="207E37EB" w14:textId="77777777" w:rsidR="00AB3F1B" w:rsidRDefault="00AB3F1B" w:rsidP="00AB3F1B"/>
    <w:p w14:paraId="2533F8E1" w14:textId="39C66338" w:rsidR="00274B60" w:rsidRPr="00901FBC" w:rsidRDefault="00274B60" w:rsidP="00AB3F1B">
      <w:r w:rsidRPr="00901FBC">
        <w:t>For more information, please see the NIHR ‘building a research career handbook: a guide for aspiring clinical academics (excluding doctors and dentists) and their managers’ which is available </w:t>
      </w:r>
      <w:hyperlink r:id="rId9" w:history="1">
        <w:r w:rsidRPr="00D55D1B">
          <w:rPr>
            <w:rStyle w:val="Hyperlink"/>
          </w:rPr>
          <w:t>here.</w:t>
        </w:r>
      </w:hyperlink>
    </w:p>
    <w:p w14:paraId="55DFA6A7" w14:textId="77777777" w:rsidR="00AB3F1B" w:rsidRDefault="00AB3F1B" w:rsidP="00AB3F1B"/>
    <w:p w14:paraId="13278ADA" w14:textId="77777777" w:rsidR="00274B60" w:rsidRPr="00AB3F1B" w:rsidRDefault="00274B60" w:rsidP="00AB3F1B">
      <w:pPr>
        <w:rPr>
          <w:b/>
        </w:rPr>
      </w:pPr>
      <w:r w:rsidRPr="00AB3F1B">
        <w:rPr>
          <w:b/>
        </w:rPr>
        <w:t>What can I expect from my supervisor?</w:t>
      </w:r>
    </w:p>
    <w:p w14:paraId="6F067A13" w14:textId="3609600D" w:rsidR="00274B60" w:rsidRPr="00901FBC" w:rsidRDefault="0056670F" w:rsidP="00AB3F1B">
      <w:r>
        <w:t xml:space="preserve">Any awardee without a supervisory team in place will receive support and guidance in finding a </w:t>
      </w:r>
      <w:r w:rsidR="00274B60" w:rsidRPr="00901FBC">
        <w:t xml:space="preserve">named academic supervisor </w:t>
      </w:r>
      <w:r w:rsidR="000111FC">
        <w:t>and/</w:t>
      </w:r>
      <w:r w:rsidR="00274B60" w:rsidRPr="00901FBC">
        <w:t>or supervisors for the duration of the programme</w:t>
      </w:r>
    </w:p>
    <w:p w14:paraId="23293B5A" w14:textId="77777777" w:rsidR="0056670F" w:rsidRDefault="0056670F" w:rsidP="00AB3F1B"/>
    <w:p w14:paraId="66862389" w14:textId="0F212EB3" w:rsidR="00274B60" w:rsidRPr="00901FBC" w:rsidRDefault="00274B60" w:rsidP="00AB3F1B">
      <w:r w:rsidRPr="00901FBC">
        <w:t>Supervisors will be sought from across both the r</w:t>
      </w:r>
      <w:r w:rsidR="00790429">
        <w:t>egional universities and trusts.</w:t>
      </w:r>
    </w:p>
    <w:p w14:paraId="7FD6A3D0" w14:textId="77777777" w:rsidR="0056670F" w:rsidRDefault="0056670F" w:rsidP="00AB3F1B"/>
    <w:p w14:paraId="1A65E93B" w14:textId="7493109F" w:rsidR="000111FC" w:rsidRDefault="00274B60" w:rsidP="00AB3F1B">
      <w:r w:rsidRPr="00901FBC">
        <w:t>A matching scheme approach wil</w:t>
      </w:r>
      <w:r w:rsidR="0056670F">
        <w:t>l be taken to ensure each awardee</w:t>
      </w:r>
      <w:r w:rsidRPr="00901FBC">
        <w:t xml:space="preserve"> is matched with the optimal supervisor and will take account of both areas of interest as well as practical considerations</w:t>
      </w:r>
    </w:p>
    <w:p w14:paraId="161A34FA" w14:textId="77777777" w:rsidR="00AB3F1B" w:rsidRDefault="00AB3F1B" w:rsidP="00AB3F1B"/>
    <w:p w14:paraId="066F2095" w14:textId="77777777" w:rsidR="00274B60" w:rsidRPr="00AB3F1B" w:rsidRDefault="00274B60" w:rsidP="00AB3F1B">
      <w:pPr>
        <w:rPr>
          <w:b/>
        </w:rPr>
      </w:pPr>
      <w:r w:rsidRPr="00AB3F1B">
        <w:rPr>
          <w:b/>
        </w:rPr>
        <w:t>What happens after the programme?</w:t>
      </w:r>
    </w:p>
    <w:p w14:paraId="7041ABB9" w14:textId="09A4E40E" w:rsidR="00274B60" w:rsidRDefault="00B11C95" w:rsidP="00AB3F1B">
      <w:r>
        <w:t>The scheme</w:t>
      </w:r>
      <w:r w:rsidR="00274B60" w:rsidRPr="00901FBC">
        <w:t xml:space="preserve"> will</w:t>
      </w:r>
      <w:r>
        <w:t xml:space="preserve"> assist you to develop the skills </w:t>
      </w:r>
      <w:r w:rsidR="00274B60" w:rsidRPr="00901FBC">
        <w:t xml:space="preserve">and knowledge required to apply successfully for the next stage of the clinical academic pathway (e.g. </w:t>
      </w:r>
      <w:r w:rsidR="00790429">
        <w:t>HSC R&amp;D Doctoral Fellowships Scheme, NIHR Doctoral Fellowship Awards)</w:t>
      </w:r>
      <w:r w:rsidR="00274B60" w:rsidRPr="00901FBC">
        <w:t>. Support and guidance on options for further academic study or clinical academic careers will be provided.</w:t>
      </w:r>
    </w:p>
    <w:p w14:paraId="6B6A058D" w14:textId="77777777" w:rsidR="0053575F" w:rsidRPr="00901FBC" w:rsidRDefault="0053575F" w:rsidP="00AB3F1B"/>
    <w:p w14:paraId="2265CFDF" w14:textId="5A58BF62" w:rsidR="00274B60" w:rsidRPr="00901FBC" w:rsidRDefault="00274B60" w:rsidP="00AB3F1B">
      <w:r w:rsidRPr="00901FBC">
        <w:t xml:space="preserve">After completing the programme, you will also become a member of our </w:t>
      </w:r>
      <w:r w:rsidR="0053575F">
        <w:t xml:space="preserve">network </w:t>
      </w:r>
      <w:r w:rsidRPr="00901FBC">
        <w:t>providing you with further opportunities and support.</w:t>
      </w:r>
    </w:p>
    <w:p w14:paraId="36E454A3" w14:textId="77777777" w:rsidR="00AB3F1B" w:rsidRDefault="00AB3F1B" w:rsidP="00AB3F1B"/>
    <w:p w14:paraId="3B72237C" w14:textId="77777777" w:rsidR="00BB5165" w:rsidRDefault="00BB5165" w:rsidP="00AB3F1B">
      <w:pPr>
        <w:rPr>
          <w:b/>
        </w:rPr>
      </w:pPr>
    </w:p>
    <w:p w14:paraId="708FB4A6" w14:textId="77777777" w:rsidR="00274B60" w:rsidRPr="00AB3F1B" w:rsidRDefault="00274B60" w:rsidP="00AB3F1B">
      <w:pPr>
        <w:rPr>
          <w:b/>
        </w:rPr>
      </w:pPr>
      <w:r w:rsidRPr="00AB3F1B">
        <w:rPr>
          <w:b/>
        </w:rPr>
        <w:t>Further information</w:t>
      </w:r>
    </w:p>
    <w:p w14:paraId="5412306D" w14:textId="77777777" w:rsidR="00AB3F1B" w:rsidRDefault="00AB3F1B" w:rsidP="00AB3F1B"/>
    <w:p w14:paraId="58D8A3A2" w14:textId="0CC2BDE0" w:rsidR="00274B60" w:rsidRPr="00901FBC" w:rsidRDefault="00274B60" w:rsidP="00AB3F1B">
      <w:r w:rsidRPr="00901FBC">
        <w:t>If your question has not been addressed on this page</w:t>
      </w:r>
      <w:r w:rsidR="00B11C95">
        <w:t xml:space="preserve"> or you require further clarification</w:t>
      </w:r>
      <w:r w:rsidRPr="00901FBC">
        <w:t>, pleas</w:t>
      </w:r>
      <w:r w:rsidR="000111FC">
        <w:t xml:space="preserve">e contact the </w:t>
      </w:r>
      <w:r w:rsidRPr="00901FBC">
        <w:t>team on the details below.</w:t>
      </w:r>
    </w:p>
    <w:p w14:paraId="0A0A561F" w14:textId="77777777" w:rsidR="00274B60" w:rsidRPr="00901FBC" w:rsidRDefault="00274B60" w:rsidP="00AB3F1B"/>
    <w:p w14:paraId="499695B0" w14:textId="5F6CA37E" w:rsidR="00274B60" w:rsidRPr="00901FBC" w:rsidRDefault="00DF380E" w:rsidP="00AB3F1B">
      <w:hyperlink r:id="rId10" w:history="1">
        <w:r w:rsidR="00790429" w:rsidRPr="00167350">
          <w:rPr>
            <w:rStyle w:val="Hyperlink"/>
          </w:rPr>
          <w:t>sorcha.finnegan@hscni.net</w:t>
        </w:r>
      </w:hyperlink>
    </w:p>
    <w:sectPr w:rsidR="00274B60" w:rsidRPr="00901FBC" w:rsidSect="002C0F5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5D7436D"/>
    <w:multiLevelType w:val="multilevel"/>
    <w:tmpl w:val="D110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64"/>
    <w:rsid w:val="000111FC"/>
    <w:rsid w:val="00274B60"/>
    <w:rsid w:val="002C0F54"/>
    <w:rsid w:val="002E095A"/>
    <w:rsid w:val="00305942"/>
    <w:rsid w:val="00463B8A"/>
    <w:rsid w:val="004E1281"/>
    <w:rsid w:val="0053575F"/>
    <w:rsid w:val="0056670F"/>
    <w:rsid w:val="0060211C"/>
    <w:rsid w:val="00672D6C"/>
    <w:rsid w:val="00790429"/>
    <w:rsid w:val="00901FBC"/>
    <w:rsid w:val="0096718A"/>
    <w:rsid w:val="00AB3F1B"/>
    <w:rsid w:val="00B11C95"/>
    <w:rsid w:val="00BB5165"/>
    <w:rsid w:val="00CC0169"/>
    <w:rsid w:val="00D55D1B"/>
    <w:rsid w:val="00DD4264"/>
    <w:rsid w:val="00DF380E"/>
    <w:rsid w:val="00DF4929"/>
    <w:rsid w:val="00F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3A5CC"/>
  <w14:defaultImageDpi w14:val="300"/>
  <w15:docId w15:val="{AED6F49F-A5E4-CE43-8C49-C8D152E3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74B60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74B60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74B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4B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74B60"/>
  </w:style>
  <w:style w:type="character" w:styleId="Hyperlink">
    <w:name w:val="Hyperlink"/>
    <w:basedOn w:val="DefaultParagraphFont"/>
    <w:uiPriority w:val="99"/>
    <w:unhideWhenUsed/>
    <w:rsid w:val="00274B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4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hscni.net/hsc-rd-bridging-scheme-launch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northwest.nhs.uk/wp-content/uploads/2018/08/TCC-ICA-Eligible-Professions-and-Registration-Bodies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sorcha.finnegan@hscn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perial.ac.uk/media/imperial-college/medicine/study/postgraduate/cato/NIHR-bookl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srft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Simpson</dc:creator>
  <cp:keywords/>
  <dc:description/>
  <cp:lastModifiedBy>Sorcha Finnegan</cp:lastModifiedBy>
  <cp:revision>2</cp:revision>
  <cp:lastPrinted>2021-07-02T13:30:00Z</cp:lastPrinted>
  <dcterms:created xsi:type="dcterms:W3CDTF">2022-07-11T10:23:00Z</dcterms:created>
  <dcterms:modified xsi:type="dcterms:W3CDTF">2022-07-11T10:23:00Z</dcterms:modified>
</cp:coreProperties>
</file>